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F425" w14:textId="092462B2" w:rsidR="00786B66" w:rsidRPr="00E21D8D" w:rsidRDefault="005428A4" w:rsidP="009F2915">
      <w:pPr>
        <w:pStyle w:val="Sarakstarindkopa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21D8D">
        <w:rPr>
          <w:rFonts w:ascii="Arial" w:hAnsi="Arial" w:cs="Arial"/>
          <w:b/>
          <w:bCs/>
          <w:sz w:val="28"/>
          <w:szCs w:val="28"/>
          <w:shd w:val="clear" w:color="auto" w:fill="FFFFFF"/>
        </w:rPr>
        <w:t>Prasības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īslaicīgajai</w:t>
      </w:r>
      <w:r w:rsidRPr="00E21D8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tirdzniecībai un </w:t>
      </w:r>
      <w:r w:rsidR="009F2915" w:rsidRPr="00E21D8D">
        <w:rPr>
          <w:rFonts w:ascii="Arial" w:eastAsia="Arial" w:hAnsi="Arial" w:cs="Arial"/>
          <w:b/>
          <w:bCs/>
          <w:sz w:val="28"/>
          <w:szCs w:val="28"/>
        </w:rPr>
        <w:t>tirdzniecības nojumju novietojumam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: </w:t>
      </w:r>
    </w:p>
    <w:p w14:paraId="502FE9FA" w14:textId="77777777" w:rsidR="009F2915" w:rsidRPr="009F2915" w:rsidRDefault="009F2915" w:rsidP="009F2915">
      <w:p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13FF84" w14:textId="09C034BD" w:rsidR="00E21D8D" w:rsidRDefault="00786B66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eastAsia="Arial" w:hAnsi="Arial" w:cs="Arial"/>
          <w:b/>
          <w:bCs/>
          <w:sz w:val="24"/>
          <w:szCs w:val="24"/>
          <w:u w:val="single"/>
        </w:rPr>
        <w:t>VĒRMANES DĀRZS</w:t>
      </w:r>
    </w:p>
    <w:p w14:paraId="6893D261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6400B38" w14:textId="77777777" w:rsidR="00E21D8D" w:rsidRPr="009F2915" w:rsidRDefault="00E21D8D" w:rsidP="00E21D8D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19BA2BF" w14:textId="55DD0AB9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</w:t>
      </w:r>
      <w:r w:rsidR="00DC18DE">
        <w:rPr>
          <w:rFonts w:ascii="Arial" w:hAnsi="Arial" w:cs="Arial"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5AF812F7" w14:textId="49B4E5E2" w:rsidR="00E21D8D" w:rsidRPr="00E21D8D" w:rsidRDefault="00E21D8D" w:rsidP="00E21D8D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28B844E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35F6434" w14:textId="79FC63BF" w:rsidR="00786B66" w:rsidRPr="009F2915" w:rsidRDefault="009F2915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ESPLANĀDE</w:t>
      </w:r>
    </w:p>
    <w:p w14:paraId="4D93ED0A" w14:textId="35861FB5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C613FF3" w14:textId="5069870C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3EF983C8" w14:textId="02A0A45D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Tikai uz cietā seguma shēmā norādītajā celiņa pusē</w:t>
      </w:r>
      <w:r w:rsidR="003B0B78" w:rsidRPr="009F2915">
        <w:rPr>
          <w:rFonts w:ascii="Arial" w:hAnsi="Arial" w:cs="Arial"/>
          <w:sz w:val="24"/>
          <w:szCs w:val="24"/>
        </w:rPr>
        <w:t>.</w:t>
      </w:r>
    </w:p>
    <w:p w14:paraId="05415FC2" w14:textId="3BE3E844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4931181F" w14:textId="029204E2" w:rsidR="00786B66" w:rsidRPr="009F2915" w:rsidRDefault="00786B66" w:rsidP="00786B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hAnsi="Arial" w:cs="Arial"/>
          <w:b/>
          <w:bCs/>
          <w:sz w:val="24"/>
          <w:szCs w:val="24"/>
          <w:u w:val="single"/>
        </w:rPr>
        <w:t>MEŽAPARKS</w:t>
      </w:r>
    </w:p>
    <w:p w14:paraId="7B7749FB" w14:textId="77777777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9DF21DF" w14:textId="4DF9BEBD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2A5E1187" w14:textId="13335A76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Atpūtas alejā tikai uz cietā seguma</w:t>
      </w:r>
      <w:r w:rsidR="009677CA">
        <w:rPr>
          <w:rFonts w:ascii="Arial" w:hAnsi="Arial" w:cs="Arial"/>
          <w:sz w:val="24"/>
          <w:szCs w:val="24"/>
        </w:rPr>
        <w:t xml:space="preserve">  norādītajā ceļa pusē</w:t>
      </w:r>
      <w:r w:rsidRPr="009F2915">
        <w:rPr>
          <w:rFonts w:ascii="Arial" w:hAnsi="Arial" w:cs="Arial"/>
          <w:sz w:val="24"/>
          <w:szCs w:val="24"/>
        </w:rPr>
        <w:t>.</w:t>
      </w:r>
    </w:p>
    <w:p w14:paraId="1C8E407D" w14:textId="31525863" w:rsidR="003B0B78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BE49ACA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3C913E7C" w14:textId="77777777" w:rsidR="0088031D" w:rsidRDefault="0088031D" w:rsidP="00786B66">
      <w:pPr>
        <w:jc w:val="both"/>
        <w:rPr>
          <w:rFonts w:ascii="Arial" w:hAnsi="Arial" w:cs="Arial"/>
          <w:sz w:val="24"/>
          <w:szCs w:val="24"/>
        </w:rPr>
      </w:pPr>
    </w:p>
    <w:p w14:paraId="7323F0EB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54AC804B" w14:textId="4E1E4422" w:rsidR="003B0B78" w:rsidRPr="009F2915" w:rsidRDefault="009F2915" w:rsidP="009F2915">
      <w:pPr>
        <w:pStyle w:val="Sarakstarindkopa"/>
        <w:numPr>
          <w:ilvl w:val="0"/>
          <w:numId w:val="3"/>
        </w:num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Vadlīnijas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īslaicīgo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tir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dzniecības vietu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dizainam/vizuālajam noformējumam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*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: </w:t>
      </w:r>
    </w:p>
    <w:p w14:paraId="1CBF5B8A" w14:textId="53EB0454" w:rsidR="005428A4" w:rsidRDefault="00E21D8D" w:rsidP="005428A4">
      <w:pPr>
        <w:jc w:val="both"/>
        <w:rPr>
          <w:noProof/>
        </w:rPr>
      </w:pPr>
      <w:r w:rsidRPr="009F2915">
        <w:rPr>
          <w:noProof/>
        </w:rPr>
        <w:drawing>
          <wp:inline distT="0" distB="0" distL="0" distR="0" wp14:anchorId="56A59CE2" wp14:editId="2A8075A0">
            <wp:extent cx="5781675" cy="7400095"/>
            <wp:effectExtent l="0" t="0" r="0" b="0"/>
            <wp:docPr id="1920011163" name="Attēls 1" descr="Attēls, kurā ir teksts, ekrānuzņēmums, programmatūra, grafikas programmatūr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11163" name="Attēls 1" descr="Attēls, kurā ir teksts, ekrānuzņēmums, programmatūra, grafikas programmatūra&#10;&#10;Apraksts ģenerēts automātiski"/>
                    <pic:cNvPicPr/>
                  </pic:nvPicPr>
                  <pic:blipFill rotWithShape="1">
                    <a:blip r:embed="rId7"/>
                    <a:srcRect l="42455" t="21201" r="27730" b="7529"/>
                    <a:stretch/>
                  </pic:blipFill>
                  <pic:spPr bwMode="auto">
                    <a:xfrm>
                      <a:off x="0" y="0"/>
                      <a:ext cx="5826771" cy="7457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3F72E" w14:textId="6C8CD00C" w:rsidR="009F2915" w:rsidRPr="002103F3" w:rsidRDefault="002103F3" w:rsidP="002103F3">
      <w:pPr>
        <w:pStyle w:val="Sarakstarindkopa"/>
        <w:numPr>
          <w:ilvl w:val="0"/>
          <w:numId w:val="5"/>
        </w:numPr>
        <w:tabs>
          <w:tab w:val="left" w:pos="3375"/>
        </w:tabs>
        <w:rPr>
          <w:rFonts w:ascii="Arial" w:hAnsi="Arial" w:cs="Arial"/>
          <w:sz w:val="24"/>
          <w:szCs w:val="24"/>
        </w:rPr>
      </w:pPr>
      <w:r w:rsidRPr="002103F3">
        <w:rPr>
          <w:rFonts w:ascii="Arial" w:hAnsi="Arial" w:cs="Arial"/>
          <w:sz w:val="24"/>
          <w:szCs w:val="24"/>
        </w:rPr>
        <w:t>Vadlīnijas</w:t>
      </w:r>
      <w:r>
        <w:rPr>
          <w:rFonts w:ascii="Arial" w:hAnsi="Arial" w:cs="Arial"/>
          <w:sz w:val="24"/>
          <w:szCs w:val="24"/>
        </w:rPr>
        <w:t xml:space="preserve"> </w:t>
      </w:r>
      <w:r w:rsidRPr="002103F3">
        <w:rPr>
          <w:rFonts w:ascii="Arial" w:hAnsi="Arial" w:cs="Arial"/>
          <w:sz w:val="24"/>
          <w:szCs w:val="24"/>
        </w:rPr>
        <w:t>publicētas: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F0CE1">
          <w:rPr>
            <w:rStyle w:val="Hipersaite"/>
          </w:rPr>
          <w:t>19.02.2024.-pop-up (rdpad.lv)</w:t>
        </w:r>
      </w:hyperlink>
      <w:r w:rsidR="00FF0CE1">
        <w:t xml:space="preserve"> </w:t>
      </w:r>
    </w:p>
    <w:sectPr w:rsidR="009F2915" w:rsidRPr="002103F3" w:rsidSect="00841B17">
      <w:headerReference w:type="default" r:id="rId9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779DB" w14:textId="77777777" w:rsidR="001A56FE" w:rsidRDefault="001A56FE" w:rsidP="001A56FE">
      <w:pPr>
        <w:spacing w:after="0" w:line="240" w:lineRule="auto"/>
      </w:pPr>
      <w:r>
        <w:separator/>
      </w:r>
    </w:p>
  </w:endnote>
  <w:endnote w:type="continuationSeparator" w:id="0">
    <w:p w14:paraId="5605D4DB" w14:textId="77777777" w:rsidR="001A56FE" w:rsidRDefault="001A56FE" w:rsidP="001A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D2B59" w14:textId="77777777" w:rsidR="001A56FE" w:rsidRDefault="001A56FE" w:rsidP="001A56FE">
      <w:pPr>
        <w:spacing w:after="0" w:line="240" w:lineRule="auto"/>
      </w:pPr>
      <w:r>
        <w:separator/>
      </w:r>
    </w:p>
  </w:footnote>
  <w:footnote w:type="continuationSeparator" w:id="0">
    <w:p w14:paraId="0C9AD326" w14:textId="77777777" w:rsidR="001A56FE" w:rsidRDefault="001A56FE" w:rsidP="001A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8EEE" w14:textId="4A131D62" w:rsidR="001A56FE" w:rsidRPr="001A56FE" w:rsidRDefault="008458BF" w:rsidP="001A56FE">
    <w:pPr>
      <w:pStyle w:val="Galvene"/>
      <w:jc w:val="right"/>
      <w:rPr>
        <w:bCs/>
        <w:i/>
      </w:rPr>
    </w:pPr>
    <w:r>
      <w:rPr>
        <w:bCs/>
        <w:i/>
      </w:rPr>
      <w:t>7</w:t>
    </w:r>
    <w:r w:rsidR="001A56FE" w:rsidRPr="001A56FE">
      <w:rPr>
        <w:bCs/>
        <w:i/>
      </w:rPr>
      <w:t>.</w:t>
    </w:r>
    <w:r w:rsidR="00BC43C2">
      <w:rPr>
        <w:bCs/>
        <w:i/>
      </w:rPr>
      <w:t xml:space="preserve"> </w:t>
    </w:r>
    <w:r w:rsidR="001A56FE" w:rsidRPr="001A56FE">
      <w:rPr>
        <w:bCs/>
        <w:i/>
      </w:rPr>
      <w:t>pielikums</w:t>
    </w:r>
  </w:p>
  <w:p w14:paraId="3CC74C47" w14:textId="0CF2A429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>izsoles “Īslaicīgās tirdzniecības organizēšana</w:t>
    </w:r>
    <w:r w:rsidR="00FD331D">
      <w:rPr>
        <w:bCs/>
        <w:i/>
      </w:rPr>
      <w:t xml:space="preserve"> (gadatirgi)</w:t>
    </w:r>
    <w:r w:rsidRPr="001A56FE">
      <w:rPr>
        <w:bCs/>
        <w:i/>
      </w:rPr>
      <w:t xml:space="preserve"> Rīgas </w:t>
    </w:r>
    <w:proofErr w:type="spellStart"/>
    <w:r w:rsidRPr="001A56FE">
      <w:rPr>
        <w:bCs/>
        <w:i/>
      </w:rPr>
      <w:t>valstspilsētas</w:t>
    </w:r>
    <w:proofErr w:type="spellEnd"/>
  </w:p>
  <w:p w14:paraId="44C61789" w14:textId="11A81756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 xml:space="preserve"> </w:t>
    </w:r>
    <w:r w:rsidRPr="001A56FE">
      <w:rPr>
        <w:bCs/>
        <w:i/>
      </w:rPr>
      <w:t>pašvaldības parku un apstādījumu teritorijās</w:t>
    </w:r>
    <w:r w:rsidR="00FD331D">
      <w:rPr>
        <w:bCs/>
        <w:i/>
      </w:rPr>
      <w:t xml:space="preserve"> (</w:t>
    </w:r>
    <w:r w:rsidR="00065AE5">
      <w:rPr>
        <w:bCs/>
        <w:i/>
      </w:rPr>
      <w:t>janvārī, februārī, martā</w:t>
    </w:r>
    <w:r w:rsidR="00FD331D">
      <w:rPr>
        <w:bCs/>
        <w:i/>
      </w:rPr>
      <w:t>)</w:t>
    </w:r>
    <w:r w:rsidRPr="001A56FE">
      <w:rPr>
        <w:bCs/>
        <w:i/>
      </w:rPr>
      <w:t>” nolikumam</w:t>
    </w:r>
  </w:p>
  <w:p w14:paraId="170F0790" w14:textId="77777777" w:rsidR="001A56FE" w:rsidRDefault="001A56F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37D2E"/>
    <w:multiLevelType w:val="hybridMultilevel"/>
    <w:tmpl w:val="81FAD308"/>
    <w:lvl w:ilvl="0" w:tplc="4A60CC1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F271AA"/>
    <w:multiLevelType w:val="hybridMultilevel"/>
    <w:tmpl w:val="540A6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04DAF"/>
    <w:multiLevelType w:val="hybridMultilevel"/>
    <w:tmpl w:val="84C857F2"/>
    <w:lvl w:ilvl="0" w:tplc="72AA55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71F13"/>
    <w:multiLevelType w:val="hybridMultilevel"/>
    <w:tmpl w:val="E020B3A0"/>
    <w:lvl w:ilvl="0" w:tplc="EFAC2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D588F"/>
    <w:multiLevelType w:val="multilevel"/>
    <w:tmpl w:val="374A67FE"/>
    <w:lvl w:ilvl="0">
      <w:start w:val="1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 w16cid:durableId="43793701">
    <w:abstractNumId w:val="4"/>
  </w:num>
  <w:num w:numId="2" w16cid:durableId="1722945862">
    <w:abstractNumId w:val="1"/>
  </w:num>
  <w:num w:numId="3" w16cid:durableId="1220823929">
    <w:abstractNumId w:val="0"/>
  </w:num>
  <w:num w:numId="4" w16cid:durableId="23412739">
    <w:abstractNumId w:val="3"/>
  </w:num>
  <w:num w:numId="5" w16cid:durableId="140544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66"/>
    <w:rsid w:val="00020E11"/>
    <w:rsid w:val="000547A5"/>
    <w:rsid w:val="00065AE5"/>
    <w:rsid w:val="001A56FE"/>
    <w:rsid w:val="002103F3"/>
    <w:rsid w:val="0027492D"/>
    <w:rsid w:val="002B1BCB"/>
    <w:rsid w:val="003B0B78"/>
    <w:rsid w:val="005428A4"/>
    <w:rsid w:val="005A7183"/>
    <w:rsid w:val="006671FA"/>
    <w:rsid w:val="006B2275"/>
    <w:rsid w:val="00720B9C"/>
    <w:rsid w:val="00761085"/>
    <w:rsid w:val="00786B66"/>
    <w:rsid w:val="00841B17"/>
    <w:rsid w:val="008458BF"/>
    <w:rsid w:val="0088031D"/>
    <w:rsid w:val="00953311"/>
    <w:rsid w:val="009677CA"/>
    <w:rsid w:val="009F2915"/>
    <w:rsid w:val="00BC43C2"/>
    <w:rsid w:val="00DC18DE"/>
    <w:rsid w:val="00E00A32"/>
    <w:rsid w:val="00E21D8D"/>
    <w:rsid w:val="00FD331D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C69"/>
  <w15:chartTrackingRefBased/>
  <w15:docId w15:val="{78B0AB6C-C09A-4EF1-B122-FAAB2D41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786B66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78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86B66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786B66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Galvene">
    <w:name w:val="header"/>
    <w:basedOn w:val="Parasts"/>
    <w:link w:val="Galv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56FE"/>
  </w:style>
  <w:style w:type="paragraph" w:styleId="Kjene">
    <w:name w:val="footer"/>
    <w:basedOn w:val="Parasts"/>
    <w:link w:val="Kj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56FE"/>
  </w:style>
  <w:style w:type="character" w:styleId="Hipersaite">
    <w:name w:val="Hyperlink"/>
    <w:basedOn w:val="Noklusjumarindkopasfonts"/>
    <w:uiPriority w:val="99"/>
    <w:unhideWhenUsed/>
    <w:rsid w:val="003B0B7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28A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F0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pad.lv/wp-content/uploads/2024/02/19.02.2024.-tirdzin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Diāna Blumberga</cp:lastModifiedBy>
  <cp:revision>2</cp:revision>
  <dcterms:created xsi:type="dcterms:W3CDTF">2024-12-09T07:42:00Z</dcterms:created>
  <dcterms:modified xsi:type="dcterms:W3CDTF">2024-12-09T07:42:00Z</dcterms:modified>
</cp:coreProperties>
</file>